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tbl>
      <w:tblPr>
        <w:tblStyle w:val="Style_1"/>
        <w:tblpPr w:bottomFromText="0" w:horzAnchor="margin" w:leftFromText="180" w:rightFromText="180" w:tblpXSpec="center" w:tblpY="-645" w:topFromText="0" w:vertAnchor="margin"/>
        <w:tblW w:type="auto" w:w="0"/>
        <w:tblInd w:type="dxa" w:w="0"/>
        <w:tblBorders>
          <w:top w:color="000000" w:val="nil"/>
          <w:left w:color="000000" w:val="nil"/>
          <w:bottom w:color="000000" w:val="nil"/>
          <w:right w:color="000000" w:val="nil"/>
          <w:insideH w:color="000000" w:val="nil"/>
          <w:insideV w:color="000000" w:val="nil"/>
        </w:tblBorders>
        <w:tblLayout w:type="fixed"/>
      </w:tblPr>
      <w:tblGrid>
        <w:gridCol w:w="6052"/>
        <w:gridCol w:w="3503"/>
      </w:tblGrid>
      <w:tr>
        <w:trPr>
          <w:trHeight w:hRule="atLeast" w:val="1799"/>
        </w:trPr>
        <w:tc>
          <w:tcPr>
            <w:tcW w:type="dxa" w:w="6052"/>
            <w:tcBorders>
              <w:top w:color="000000" w:val="nil"/>
              <w:left w:color="000000" w:val="nil"/>
              <w:bottom w:color="000000" w:val="nil"/>
              <w:right w:color="000000" w:val="nil"/>
            </w:tcBorders>
          </w:tcPr>
          <w:p w14:paraId="01000000">
            <w:pPr>
              <w:ind/>
              <w:jc w:val="center"/>
              <w:rPr>
                <w:rFonts w:ascii="Times New Roman" w:hAnsi="Times New Roman"/>
                <w:sz w:val="28"/>
              </w:rPr>
            </w:pPr>
          </w:p>
        </w:tc>
        <w:tc>
          <w:tcPr>
            <w:tcW w:type="dxa" w:w="3503"/>
            <w:tcBorders>
              <w:top w:color="000000" w:val="nil"/>
              <w:left w:color="000000" w:val="nil"/>
              <w:bottom w:color="000000" w:val="nil"/>
              <w:right w:color="000000" w:val="nil"/>
            </w:tcBorders>
          </w:tcPr>
          <w:p w14:paraId="02000000">
            <w:pPr>
              <w:ind w:firstLine="0" w:left="7371"/>
              <w:rPr>
                <w:rFonts w:ascii="Times New Roman" w:hAnsi="Times New Roman"/>
                <w:sz w:val="28"/>
              </w:rPr>
            </w:pPr>
          </w:p>
          <w:p w14:paraId="03000000">
            <w:pPr>
              <w:rPr>
                <w:rFonts w:ascii="Times New Roman" w:hAnsi="Times New Roman"/>
                <w:sz w:val="28"/>
              </w:rPr>
            </w:pPr>
            <w:r>
              <w:rPr>
                <w:rFonts w:ascii="Times New Roman" w:hAnsi="Times New Roman"/>
                <w:sz w:val="28"/>
              </w:rPr>
              <w:t>УТВЕРЖДЕНО</w:t>
            </w:r>
          </w:p>
          <w:p w14:paraId="04000000">
            <w:pPr>
              <w:rPr>
                <w:rFonts w:ascii="Times New Roman" w:hAnsi="Times New Roman"/>
                <w:sz w:val="28"/>
              </w:rPr>
            </w:pPr>
            <w:r>
              <w:rPr>
                <w:rFonts w:ascii="Times New Roman" w:hAnsi="Times New Roman"/>
                <w:sz w:val="28"/>
              </w:rPr>
              <w:t>Приказом директора</w:t>
            </w:r>
          </w:p>
          <w:p w14:paraId="05000000">
            <w:pPr>
              <w:rPr>
                <w:rFonts w:ascii="Times New Roman" w:hAnsi="Times New Roman"/>
                <w:sz w:val="28"/>
              </w:rPr>
            </w:pPr>
            <w:r>
              <w:rPr>
                <w:rFonts w:ascii="Times New Roman" w:hAnsi="Times New Roman"/>
                <w:sz w:val="28"/>
              </w:rPr>
              <w:t xml:space="preserve">МБУ ЯМО ДО и МП МЦ СШ </w:t>
            </w:r>
            <w:r>
              <w:rPr>
                <w:rFonts w:ascii="Times New Roman" w:hAnsi="Times New Roman"/>
                <w:sz w:val="28"/>
              </w:rPr>
              <w:t>от 12 января  2026 № 28</w:t>
            </w:r>
            <w:bookmarkStart w:id="1" w:name="_GoBack"/>
            <w:bookmarkEnd w:id="1"/>
          </w:p>
        </w:tc>
      </w:tr>
    </w:tbl>
    <w:p w14:paraId="06000000">
      <w:pPr>
        <w:spacing w:after="0" w:before="240" w:line="360" w:lineRule="auto"/>
        <w:ind/>
        <w:jc w:val="center"/>
        <w:rPr>
          <w:rFonts w:ascii="Times New Roman" w:hAnsi="Times New Roman"/>
          <w:b w:val="1"/>
          <w:sz w:val="28"/>
        </w:rPr>
      </w:pPr>
      <w:r>
        <w:rPr>
          <w:rFonts w:ascii="Times New Roman" w:hAnsi="Times New Roman"/>
          <w:b w:val="1"/>
          <w:sz w:val="28"/>
        </w:rPr>
        <w:t>Порядок пользования обучающимися лечебно-оздоровительной инфраструктурой, объектами культуры и объектами спорта МБУ ЯМО ДО и МП МЦ СШ</w:t>
      </w:r>
      <w:r>
        <w:rPr>
          <w:rStyle w:val="Style_2_ch"/>
          <w:rFonts w:ascii="Times New Roman" w:hAnsi="Times New Roman"/>
          <w:b w:val="1"/>
          <w:sz w:val="28"/>
        </w:rPr>
        <w:footnoteReference w:id="1"/>
      </w:r>
    </w:p>
    <w:p w14:paraId="07000000">
      <w:pPr>
        <w:numPr>
          <w:ilvl w:val="0"/>
          <w:numId w:val="1"/>
        </w:numPr>
        <w:spacing w:after="0" w:line="360" w:lineRule="auto"/>
        <w:ind w:firstLine="709" w:left="0"/>
        <w:jc w:val="both"/>
        <w:rPr>
          <w:rFonts w:ascii="Times New Roman" w:hAnsi="Times New Roman"/>
          <w:sz w:val="28"/>
        </w:rPr>
      </w:pPr>
      <w:r>
        <w:rPr>
          <w:rFonts w:ascii="Times New Roman" w:hAnsi="Times New Roman"/>
          <w:sz w:val="28"/>
        </w:rPr>
        <w:t xml:space="preserve">Настоящий порядок определяет правила пользования обучающимися лечебно-оздоровительной инфраструктурой, объектами культуры и объектами спорта (далее – спортивные объекты) </w:t>
      </w:r>
      <w:r>
        <w:rPr>
          <w:rFonts w:ascii="Times New Roman" w:hAnsi="Times New Roman"/>
          <w:sz w:val="28"/>
        </w:rPr>
        <w:t xml:space="preserve">муниципального учреждения дополнительного образования МБУ ЯМО ДО и МП МЦ СШ </w:t>
      </w:r>
      <w:r>
        <w:rPr>
          <w:rFonts w:ascii="Times New Roman" w:hAnsi="Times New Roman"/>
          <w:sz w:val="28"/>
        </w:rPr>
        <w:t>(далее – учреждение)</w:t>
      </w:r>
      <w:r>
        <w:rPr>
          <w:rFonts w:ascii="Times New Roman" w:hAnsi="Times New Roman"/>
          <w:sz w:val="28"/>
        </w:rPr>
        <w:t>.</w:t>
      </w:r>
    </w:p>
    <w:p w14:paraId="08000000">
      <w:pPr>
        <w:numPr>
          <w:ilvl w:val="0"/>
          <w:numId w:val="1"/>
        </w:numPr>
        <w:spacing w:after="0" w:line="360" w:lineRule="auto"/>
        <w:ind w:firstLine="709" w:left="0"/>
        <w:jc w:val="both"/>
        <w:rPr>
          <w:rFonts w:ascii="Times New Roman" w:hAnsi="Times New Roman"/>
          <w:sz w:val="28"/>
        </w:rPr>
      </w:pPr>
      <w:r>
        <w:rPr>
          <w:rFonts w:ascii="Times New Roman" w:hAnsi="Times New Roman"/>
          <w:sz w:val="28"/>
        </w:rPr>
        <w:t>К основным спортивным объектам учреждения относятся:</w:t>
      </w:r>
    </w:p>
    <w:p w14:paraId="09000000">
      <w:pPr>
        <w:numPr>
          <w:ilvl w:val="0"/>
          <w:numId w:val="2"/>
        </w:numPr>
        <w:spacing w:after="0" w:line="360" w:lineRule="auto"/>
        <w:ind w:hanging="425" w:left="709"/>
        <w:jc w:val="both"/>
        <w:rPr>
          <w:rFonts w:ascii="Times New Roman" w:hAnsi="Times New Roman"/>
          <w:sz w:val="28"/>
        </w:rPr>
      </w:pPr>
      <w:r>
        <w:rPr>
          <w:rFonts w:ascii="Times New Roman" w:hAnsi="Times New Roman"/>
          <w:sz w:val="28"/>
        </w:rPr>
        <w:t>объекты спортивного назначения:</w:t>
      </w:r>
    </w:p>
    <w:p w14:paraId="0A000000">
      <w:pPr>
        <w:spacing w:after="0" w:line="360" w:lineRule="auto"/>
        <w:ind w:firstLine="709" w:left="0"/>
        <w:jc w:val="both"/>
        <w:rPr>
          <w:rFonts w:ascii="Times New Roman" w:hAnsi="Times New Roman"/>
          <w:sz w:val="28"/>
        </w:rPr>
      </w:pPr>
      <w:r>
        <w:rPr>
          <w:rFonts w:ascii="Times New Roman" w:hAnsi="Times New Roman"/>
          <w:sz w:val="28"/>
        </w:rPr>
        <w:t>спортивные</w:t>
      </w:r>
      <w:r>
        <w:rPr>
          <w:rFonts w:ascii="Times New Roman" w:hAnsi="Times New Roman"/>
          <w:sz w:val="28"/>
        </w:rPr>
        <w:t xml:space="preserve"> зал</w:t>
      </w:r>
      <w:r>
        <w:rPr>
          <w:rFonts w:ascii="Times New Roman" w:hAnsi="Times New Roman"/>
          <w:sz w:val="28"/>
        </w:rPr>
        <w:t>ы</w:t>
      </w:r>
      <w:r>
        <w:rPr>
          <w:rFonts w:ascii="Times New Roman" w:hAnsi="Times New Roman"/>
          <w:sz w:val="28"/>
        </w:rPr>
        <w:t xml:space="preserve">, </w:t>
      </w:r>
      <w:r>
        <w:rPr>
          <w:rFonts w:ascii="Times New Roman" w:hAnsi="Times New Roman"/>
          <w:sz w:val="28"/>
        </w:rPr>
        <w:t xml:space="preserve">находящиеся на территории </w:t>
      </w:r>
      <w:r>
        <w:rPr>
          <w:rFonts w:ascii="Times New Roman" w:hAnsi="Times New Roman"/>
          <w:sz w:val="28"/>
        </w:rPr>
        <w:t xml:space="preserve">общеобразовательных </w:t>
      </w:r>
      <w:r>
        <w:rPr>
          <w:rFonts w:ascii="Times New Roman" w:hAnsi="Times New Roman"/>
          <w:sz w:val="28"/>
        </w:rPr>
        <w:t>школ</w:t>
      </w:r>
      <w:r>
        <w:rPr>
          <w:rFonts w:ascii="Times New Roman" w:hAnsi="Times New Roman"/>
          <w:sz w:val="28"/>
        </w:rPr>
        <w:t xml:space="preserve"> и учреждений дополнительного образования</w:t>
      </w:r>
      <w:r>
        <w:rPr>
          <w:rFonts w:ascii="Times New Roman" w:hAnsi="Times New Roman"/>
          <w:sz w:val="28"/>
        </w:rPr>
        <w:t xml:space="preserve"> ЯМО</w:t>
      </w:r>
      <w:r>
        <w:rPr>
          <w:rFonts w:ascii="Times New Roman" w:hAnsi="Times New Roman"/>
          <w:sz w:val="28"/>
        </w:rPr>
        <w:t>,</w:t>
      </w:r>
      <w:r>
        <w:rPr>
          <w:rFonts w:ascii="Times New Roman" w:hAnsi="Times New Roman"/>
          <w:sz w:val="28"/>
        </w:rPr>
        <w:t xml:space="preserve"> предоставляемые учреждению по договору </w:t>
      </w:r>
      <w:r>
        <w:rPr>
          <w:rFonts w:ascii="Times New Roman" w:hAnsi="Times New Roman"/>
          <w:sz w:val="28"/>
        </w:rPr>
        <w:t>безвозмездного пользования</w:t>
      </w:r>
      <w:r>
        <w:rPr>
          <w:rFonts w:ascii="Times New Roman" w:hAnsi="Times New Roman"/>
          <w:sz w:val="28"/>
        </w:rPr>
        <w:t xml:space="preserve"> с целью проведения спортивных </w:t>
      </w:r>
      <w:r>
        <w:rPr>
          <w:rFonts w:ascii="Times New Roman" w:hAnsi="Times New Roman"/>
          <w:sz w:val="28"/>
        </w:rPr>
        <w:t>тренировок</w:t>
      </w:r>
      <w:r>
        <w:rPr>
          <w:rFonts w:ascii="Times New Roman" w:hAnsi="Times New Roman"/>
          <w:sz w:val="28"/>
        </w:rPr>
        <w:t xml:space="preserve"> и соревнований.</w:t>
      </w:r>
    </w:p>
    <w:p w14:paraId="0B000000">
      <w:pPr>
        <w:numPr>
          <w:ilvl w:val="0"/>
          <w:numId w:val="1"/>
        </w:numPr>
        <w:spacing w:after="0" w:line="360" w:lineRule="auto"/>
        <w:ind w:firstLine="709" w:left="0"/>
        <w:jc w:val="both"/>
        <w:rPr>
          <w:rFonts w:ascii="Times New Roman" w:hAnsi="Times New Roman"/>
          <w:sz w:val="28"/>
        </w:rPr>
      </w:pPr>
      <w:r>
        <w:rPr>
          <w:rFonts w:ascii="Times New Roman" w:hAnsi="Times New Roman"/>
          <w:sz w:val="28"/>
        </w:rPr>
        <w:t>Лечебно-оздоровительной инфраструктуры, объектов культуры на балансе данного учреждения нет.</w:t>
      </w:r>
    </w:p>
    <w:p w14:paraId="0C000000">
      <w:pPr>
        <w:numPr>
          <w:ilvl w:val="0"/>
          <w:numId w:val="1"/>
        </w:numPr>
        <w:spacing w:after="0" w:line="360" w:lineRule="auto"/>
        <w:ind w:firstLine="709" w:left="0"/>
        <w:jc w:val="both"/>
        <w:rPr>
          <w:rFonts w:ascii="Times New Roman" w:hAnsi="Times New Roman"/>
          <w:sz w:val="28"/>
        </w:rPr>
      </w:pPr>
      <w:r>
        <w:rPr>
          <w:rFonts w:ascii="Times New Roman" w:hAnsi="Times New Roman"/>
          <w:sz w:val="28"/>
        </w:rPr>
        <w:t>Пользование спортивными объектами учреждения возможно, как правило, только в соответствии с их основным функциональным предназначением.</w:t>
      </w:r>
    </w:p>
    <w:p w14:paraId="0D000000">
      <w:pPr>
        <w:numPr>
          <w:ilvl w:val="0"/>
          <w:numId w:val="1"/>
        </w:numPr>
        <w:spacing w:after="0" w:line="360" w:lineRule="auto"/>
        <w:ind w:firstLine="709" w:left="0"/>
        <w:jc w:val="both"/>
        <w:rPr>
          <w:rFonts w:ascii="Times New Roman" w:hAnsi="Times New Roman"/>
          <w:sz w:val="28"/>
        </w:rPr>
      </w:pPr>
      <w:r>
        <w:rPr>
          <w:rFonts w:ascii="Times New Roman" w:hAnsi="Times New Roman"/>
          <w:sz w:val="28"/>
        </w:rPr>
        <w:t>При пользовании спортивными объектами обучающиеся должны выполнять правила посещения специализированных помещений (спортивного зала).</w:t>
      </w:r>
    </w:p>
    <w:p w14:paraId="0E000000">
      <w:pPr>
        <w:numPr>
          <w:ilvl w:val="0"/>
          <w:numId w:val="1"/>
        </w:numPr>
        <w:spacing w:after="0" w:line="360" w:lineRule="auto"/>
        <w:ind w:firstLine="709" w:left="0"/>
        <w:jc w:val="both"/>
        <w:rPr>
          <w:rFonts w:ascii="Times New Roman" w:hAnsi="Times New Roman"/>
          <w:sz w:val="28"/>
        </w:rPr>
      </w:pPr>
      <w:r>
        <w:rPr>
          <w:rFonts w:ascii="Times New Roman" w:hAnsi="Times New Roman"/>
          <w:sz w:val="28"/>
        </w:rPr>
        <w:t>Допускается использование только исправного оборудования и инвентаря.</w:t>
      </w:r>
    </w:p>
    <w:p w14:paraId="0F000000">
      <w:pPr>
        <w:numPr>
          <w:ilvl w:val="0"/>
          <w:numId w:val="1"/>
        </w:numPr>
        <w:spacing w:after="0" w:line="360" w:lineRule="auto"/>
        <w:ind w:firstLine="709" w:left="0"/>
        <w:jc w:val="both"/>
        <w:rPr>
          <w:rFonts w:ascii="Times New Roman" w:hAnsi="Times New Roman"/>
          <w:sz w:val="28"/>
        </w:rPr>
      </w:pPr>
      <w:r>
        <w:rPr>
          <w:rFonts w:ascii="Times New Roman" w:hAnsi="Times New Roman"/>
          <w:sz w:val="28"/>
        </w:rPr>
        <w:t>При обнаружении (возникновении) поломки (повреждения) оборудования или сооружений, делающей невозможным или опасным их дальнейшее использование, работник учреждения обязан незамедлительно сообщить об этом лицу, ответственному за данный объект, или своему непосредственному руководителю.</w:t>
      </w:r>
    </w:p>
    <w:p w14:paraId="10000000">
      <w:pPr>
        <w:numPr>
          <w:ilvl w:val="0"/>
          <w:numId w:val="1"/>
        </w:numPr>
        <w:spacing w:after="0" w:line="360" w:lineRule="auto"/>
        <w:ind w:firstLine="709" w:left="0"/>
        <w:jc w:val="both"/>
        <w:rPr>
          <w:rFonts w:ascii="Times New Roman" w:hAnsi="Times New Roman"/>
          <w:sz w:val="28"/>
        </w:rPr>
      </w:pPr>
      <w:r>
        <w:rPr>
          <w:rFonts w:ascii="Times New Roman" w:hAnsi="Times New Roman"/>
          <w:sz w:val="28"/>
        </w:rPr>
        <w:t>Пользование обучающимися спортивными объектами учреждения осуществляется:</w:t>
      </w:r>
    </w:p>
    <w:p w14:paraId="11000000">
      <w:pPr>
        <w:numPr>
          <w:ilvl w:val="0"/>
          <w:numId w:val="3"/>
        </w:numPr>
        <w:spacing w:after="0" w:line="360" w:lineRule="auto"/>
        <w:ind w:hanging="425" w:left="709"/>
        <w:jc w:val="both"/>
        <w:rPr>
          <w:rFonts w:ascii="Times New Roman" w:hAnsi="Times New Roman"/>
          <w:sz w:val="28"/>
        </w:rPr>
      </w:pPr>
      <w:r>
        <w:rPr>
          <w:rFonts w:ascii="Times New Roman" w:hAnsi="Times New Roman"/>
          <w:sz w:val="28"/>
        </w:rPr>
        <w:t>во время, отведенное в расписании занятий;</w:t>
      </w:r>
    </w:p>
    <w:p w14:paraId="12000000">
      <w:pPr>
        <w:numPr>
          <w:ilvl w:val="0"/>
          <w:numId w:val="3"/>
        </w:numPr>
        <w:spacing w:after="0" w:line="360" w:lineRule="auto"/>
        <w:ind w:hanging="425" w:left="709"/>
        <w:jc w:val="both"/>
        <w:rPr>
          <w:rFonts w:ascii="Times New Roman" w:hAnsi="Times New Roman"/>
          <w:sz w:val="28"/>
        </w:rPr>
      </w:pPr>
      <w:r>
        <w:rPr>
          <w:rFonts w:ascii="Times New Roman" w:hAnsi="Times New Roman"/>
          <w:sz w:val="28"/>
        </w:rPr>
        <w:t>по специальному расписанию, утвержденному директором учреждени</w:t>
      </w:r>
      <w:r>
        <w:rPr>
          <w:rFonts w:ascii="Times New Roman" w:hAnsi="Times New Roman"/>
          <w:sz w:val="28"/>
        </w:rPr>
        <w:t>я</w:t>
      </w:r>
      <w:r>
        <w:rPr>
          <w:rFonts w:ascii="Times New Roman" w:hAnsi="Times New Roman"/>
          <w:sz w:val="28"/>
        </w:rPr>
        <w:t>.</w:t>
      </w:r>
    </w:p>
    <w:p w14:paraId="13000000">
      <w:pPr>
        <w:numPr>
          <w:ilvl w:val="0"/>
          <w:numId w:val="1"/>
        </w:numPr>
        <w:spacing w:after="0" w:line="360" w:lineRule="auto"/>
        <w:ind w:firstLine="709" w:left="0"/>
        <w:jc w:val="both"/>
        <w:rPr>
          <w:rFonts w:ascii="Times New Roman" w:hAnsi="Times New Roman"/>
          <w:sz w:val="28"/>
        </w:rPr>
      </w:pPr>
      <w:r>
        <w:rPr>
          <w:rFonts w:ascii="Times New Roman" w:hAnsi="Times New Roman"/>
          <w:sz w:val="28"/>
        </w:rPr>
        <w:t>Пользование обучающимися спортивными объектами учреждения возможно только в присутствии и под руководством педагогических работников учреждения.</w:t>
      </w:r>
    </w:p>
    <w:p w14:paraId="14000000">
      <w:pPr>
        <w:numPr>
          <w:ilvl w:val="0"/>
          <w:numId w:val="1"/>
        </w:numPr>
        <w:spacing w:after="0" w:line="360" w:lineRule="auto"/>
        <w:ind w:firstLine="709" w:left="0"/>
        <w:jc w:val="both"/>
        <w:rPr>
          <w:rFonts w:ascii="Times New Roman" w:hAnsi="Times New Roman"/>
          <w:sz w:val="28"/>
        </w:rPr>
      </w:pPr>
      <w:r>
        <w:rPr>
          <w:rFonts w:ascii="Times New Roman" w:hAnsi="Times New Roman"/>
          <w:sz w:val="28"/>
        </w:rPr>
        <w:t>К занятиям на объектах спортивного назначения не должны допускаться обучающиеся без спортивной одежды и обуви, а также обучающиеся после перенесенных заболеваний без медицинского заключения (справки).</w:t>
      </w:r>
    </w:p>
    <w:p w14:paraId="15000000">
      <w:pPr>
        <w:spacing w:after="0" w:line="360" w:lineRule="auto"/>
        <w:ind/>
        <w:jc w:val="both"/>
        <w:rPr>
          <w:rFonts w:ascii="Times New Roman" w:hAnsi="Times New Roman"/>
          <w:sz w:val="28"/>
        </w:rPr>
      </w:pPr>
    </w:p>
    <w:p w14:paraId="16000000">
      <w:pPr>
        <w:rPr>
          <w:rFonts w:ascii="Calibri" w:hAnsi="Calibri"/>
        </w:rPr>
      </w:pPr>
    </w:p>
    <w:p w14:paraId="17000000"/>
    <w:sectPr>
      <w:pgSz w:h="16838" w:orient="portrait" w:w="11906"/>
      <w:pgMar w:bottom="1134" w:footer="708" w:gutter="0" w:header="708" w:left="1701" w:right="850" w:top="1134"/>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18000000">
      <w:pPr>
        <w:pStyle w:val="Style_14"/>
        <w:ind/>
        <w:jc w:val="both"/>
        <w:rPr>
          <w:rFonts w:ascii="Times New Roman" w:hAnsi="Times New Roman"/>
        </w:rPr>
      </w:pPr>
      <w:r>
        <w:rPr>
          <w:rFonts w:ascii="Times New Roman" w:hAnsi="Times New Roman"/>
          <w:vertAlign w:val="superscript"/>
        </w:rPr>
        <w:footnoteRef/>
      </w:r>
      <w:r>
        <w:rPr>
          <w:rFonts w:ascii="Times New Roman" w:hAnsi="Times New Roman"/>
        </w:rPr>
        <w:t xml:space="preserve"> При принятии настоящего локального нормативного акта, в соответствии с ч.3 ст.30 ФЗ «Об образовании в РФ», учитывается мнение совета родителей (законных представителей) обучающихся</w:t>
      </w:r>
    </w:p>
  </w:footnote>
</w:footnote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429"/>
      </w:pPr>
      <w:rPr>
        <w:i w:val="0"/>
      </w:r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1">
    <w:lvl w:ilvl="0">
      <w:start w:val="1"/>
      <w:numFmt w:val="russianLower"/>
      <w:lvlText w:val="%1)"/>
      <w:lvlJc w:val="left"/>
      <w:pPr>
        <w:ind w:hanging="360" w:left="1429"/>
      </w:pPr>
    </w:lvl>
    <w:lvl w:ilvl="1">
      <w:start w:val="1"/>
      <w:numFmt w:val="lowerLetter"/>
      <w:lvlText w:val="%2."/>
      <w:lvlJc w:val="left"/>
      <w:pPr>
        <w:ind w:hanging="360" w:left="2149"/>
      </w:pPr>
    </w:lvl>
    <w:lvl w:ilvl="2">
      <w:start w:val="1"/>
      <w:numFmt w:val="lowerRoman"/>
      <w:lvlText w:val="%3."/>
      <w:lvlJc w:val="right"/>
      <w:pPr>
        <w:ind w:hanging="180" w:left="2869"/>
      </w:pPr>
    </w:lvl>
    <w:lvl w:ilvl="3">
      <w:start w:val="1"/>
      <w:numFmt w:val="decimal"/>
      <w:lvlText w:val="%4."/>
      <w:lvlJc w:val="left"/>
      <w:pPr>
        <w:ind w:hanging="360" w:left="3589"/>
      </w:pPr>
    </w:lvl>
    <w:lvl w:ilvl="4">
      <w:start w:val="1"/>
      <w:numFmt w:val="lowerLetter"/>
      <w:lvlText w:val="%5."/>
      <w:lvlJc w:val="left"/>
      <w:pPr>
        <w:ind w:hanging="360" w:left="4309"/>
      </w:pPr>
    </w:lvl>
    <w:lvl w:ilvl="5">
      <w:start w:val="1"/>
      <w:numFmt w:val="lowerRoman"/>
      <w:lvlText w:val="%6."/>
      <w:lvlJc w:val="right"/>
      <w:pPr>
        <w:ind w:hanging="180" w:left="5029"/>
      </w:pPr>
    </w:lvl>
    <w:lvl w:ilvl="6">
      <w:start w:val="1"/>
      <w:numFmt w:val="decimal"/>
      <w:lvlText w:val="%7."/>
      <w:lvlJc w:val="left"/>
      <w:pPr>
        <w:ind w:hanging="360" w:left="5749"/>
      </w:pPr>
    </w:lvl>
    <w:lvl w:ilvl="7">
      <w:start w:val="1"/>
      <w:numFmt w:val="lowerLetter"/>
      <w:lvlText w:val="%8."/>
      <w:lvlJc w:val="left"/>
      <w:pPr>
        <w:ind w:hanging="360" w:left="6469"/>
      </w:pPr>
    </w:lvl>
    <w:lvl w:ilvl="8">
      <w:start w:val="1"/>
      <w:numFmt w:val="lowerRoman"/>
      <w:lvlText w:val="%9."/>
      <w:lvlJc w:val="right"/>
      <w:pPr>
        <w:ind w:hanging="180" w:left="7189"/>
      </w:pPr>
    </w:lvl>
  </w:abstractNum>
  <w:abstractNum w:abstractNumId="2">
    <w:lvl w:ilvl="0">
      <w:start w:val="1"/>
      <w:numFmt w:val="russianLower"/>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num w:numId="1">
    <w:abstractNumId w:val="0"/>
  </w:num>
  <w:num w:numId="2">
    <w:abstractNumId w:val="1"/>
  </w:num>
  <w:num w:numId="3">
    <w:abstractNumId w:val="2"/>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3" w:type="paragraph">
    <w:name w:val="Normal"/>
    <w:link w:val="Style_3_ch"/>
    <w:uiPriority w:val="0"/>
    <w:qFormat/>
  </w:style>
  <w:style w:default="1" w:styleId="Style_3_ch" w:type="character">
    <w:name w:val="Normal"/>
    <w:link w:val="Style_3"/>
  </w:style>
  <w:style w:styleId="Style_4" w:type="paragraph">
    <w:name w:val="toc 2"/>
    <w:next w:val="Style_3"/>
    <w:link w:val="Style_4_ch"/>
    <w:uiPriority w:val="39"/>
    <w:pPr>
      <w:ind w:firstLine="0" w:left="200"/>
      <w:jc w:val="left"/>
    </w:pPr>
    <w:rPr>
      <w:rFonts w:ascii="XO Thames" w:hAnsi="XO Thames"/>
      <w:sz w:val="28"/>
    </w:rPr>
  </w:style>
  <w:style w:styleId="Style_4_ch" w:type="character">
    <w:name w:val="toc 2"/>
    <w:link w:val="Style_4"/>
    <w:rPr>
      <w:rFonts w:ascii="XO Thames" w:hAnsi="XO Thames"/>
      <w:sz w:val="28"/>
    </w:rPr>
  </w:style>
  <w:style w:styleId="Style_5" w:type="paragraph">
    <w:name w:val="toc 4"/>
    <w:next w:val="Style_3"/>
    <w:link w:val="Style_5_ch"/>
    <w:uiPriority w:val="39"/>
    <w:pPr>
      <w:ind w:firstLine="0" w:left="600"/>
      <w:jc w:val="left"/>
    </w:pPr>
    <w:rPr>
      <w:rFonts w:ascii="XO Thames" w:hAnsi="XO Thames"/>
      <w:sz w:val="28"/>
    </w:rPr>
  </w:style>
  <w:style w:styleId="Style_5_ch" w:type="character">
    <w:name w:val="toc 4"/>
    <w:link w:val="Style_5"/>
    <w:rPr>
      <w:rFonts w:ascii="XO Thames" w:hAnsi="XO Thames"/>
      <w:sz w:val="28"/>
    </w:rPr>
  </w:style>
  <w:style w:styleId="Style_6" w:type="paragraph">
    <w:name w:val="toc 6"/>
    <w:next w:val="Style_3"/>
    <w:link w:val="Style_6_ch"/>
    <w:uiPriority w:val="39"/>
    <w:pPr>
      <w:ind w:firstLine="0" w:left="1000"/>
      <w:jc w:val="left"/>
    </w:pPr>
    <w:rPr>
      <w:rFonts w:ascii="XO Thames" w:hAnsi="XO Thames"/>
      <w:sz w:val="28"/>
    </w:rPr>
  </w:style>
  <w:style w:styleId="Style_6_ch" w:type="character">
    <w:name w:val="toc 6"/>
    <w:link w:val="Style_6"/>
    <w:rPr>
      <w:rFonts w:ascii="XO Thames" w:hAnsi="XO Thames"/>
      <w:sz w:val="28"/>
    </w:rPr>
  </w:style>
  <w:style w:styleId="Style_7" w:type="paragraph">
    <w:name w:val="toc 7"/>
    <w:next w:val="Style_3"/>
    <w:link w:val="Style_7_ch"/>
    <w:uiPriority w:val="39"/>
    <w:pPr>
      <w:ind w:firstLine="0" w:left="1200"/>
      <w:jc w:val="left"/>
    </w:pPr>
    <w:rPr>
      <w:rFonts w:ascii="XO Thames" w:hAnsi="XO Thames"/>
      <w:sz w:val="28"/>
    </w:rPr>
  </w:style>
  <w:style w:styleId="Style_7_ch" w:type="character">
    <w:name w:val="toc 7"/>
    <w:link w:val="Style_7"/>
    <w:rPr>
      <w:rFonts w:ascii="XO Thames" w:hAnsi="XO Thames"/>
      <w:sz w:val="28"/>
    </w:rPr>
  </w:style>
  <w:style w:styleId="Style_8" w:type="paragraph">
    <w:name w:val="Endnote"/>
    <w:link w:val="Style_8_ch"/>
    <w:pPr>
      <w:ind w:firstLine="851" w:left="0"/>
      <w:jc w:val="both"/>
    </w:pPr>
    <w:rPr>
      <w:rFonts w:ascii="XO Thames" w:hAnsi="XO Thames"/>
      <w:sz w:val="22"/>
    </w:rPr>
  </w:style>
  <w:style w:styleId="Style_8_ch" w:type="character">
    <w:name w:val="Endnote"/>
    <w:link w:val="Style_8"/>
    <w:rPr>
      <w:rFonts w:ascii="XO Thames" w:hAnsi="XO Thames"/>
      <w:sz w:val="22"/>
    </w:rPr>
  </w:style>
  <w:style w:styleId="Style_9" w:type="paragraph">
    <w:name w:val="heading 3"/>
    <w:next w:val="Style_3"/>
    <w:link w:val="Style_9_ch"/>
    <w:uiPriority w:val="9"/>
    <w:qFormat/>
    <w:pPr>
      <w:spacing w:after="120" w:before="120"/>
      <w:ind/>
      <w:jc w:val="both"/>
      <w:outlineLvl w:val="2"/>
    </w:pPr>
    <w:rPr>
      <w:rFonts w:ascii="XO Thames" w:hAnsi="XO Thames"/>
      <w:b w:val="1"/>
      <w:sz w:val="26"/>
    </w:rPr>
  </w:style>
  <w:style w:styleId="Style_9_ch" w:type="character">
    <w:name w:val="heading 3"/>
    <w:link w:val="Style_9"/>
    <w:rPr>
      <w:rFonts w:ascii="XO Thames" w:hAnsi="XO Thames"/>
      <w:b w:val="1"/>
      <w:sz w:val="26"/>
    </w:rPr>
  </w:style>
  <w:style w:styleId="Style_10" w:type="paragraph">
    <w:name w:val="toc 3"/>
    <w:next w:val="Style_3"/>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2" w:type="paragraph">
    <w:name w:val="footnote reference"/>
    <w:link w:val="Style_2_ch"/>
    <w:rPr>
      <w:vertAlign w:val="superscript"/>
    </w:rPr>
  </w:style>
  <w:style w:styleId="Style_2_ch" w:type="character">
    <w:name w:val="footnote reference"/>
    <w:link w:val="Style_2"/>
    <w:rPr>
      <w:vertAlign w:val="superscript"/>
    </w:rPr>
  </w:style>
  <w:style w:styleId="Style_11" w:type="paragraph">
    <w:name w:val="heading 5"/>
    <w:next w:val="Style_3"/>
    <w:link w:val="Style_11_ch"/>
    <w:uiPriority w:val="9"/>
    <w:qFormat/>
    <w:pPr>
      <w:spacing w:after="120" w:before="120"/>
      <w:ind/>
      <w:jc w:val="both"/>
      <w:outlineLvl w:val="4"/>
    </w:pPr>
    <w:rPr>
      <w:rFonts w:ascii="XO Thames" w:hAnsi="XO Thames"/>
      <w:b w:val="1"/>
      <w:sz w:val="22"/>
    </w:rPr>
  </w:style>
  <w:style w:styleId="Style_11_ch" w:type="character">
    <w:name w:val="heading 5"/>
    <w:link w:val="Style_11"/>
    <w:rPr>
      <w:rFonts w:ascii="XO Thames" w:hAnsi="XO Thames"/>
      <w:b w:val="1"/>
      <w:sz w:val="22"/>
    </w:rPr>
  </w:style>
  <w:style w:styleId="Style_12" w:type="paragraph">
    <w:name w:val="heading 1"/>
    <w:next w:val="Style_3"/>
    <w:link w:val="Style_12_ch"/>
    <w:uiPriority w:val="9"/>
    <w:qFormat/>
    <w:pPr>
      <w:spacing w:after="120" w:before="120"/>
      <w:ind/>
      <w:jc w:val="both"/>
      <w:outlineLvl w:val="0"/>
    </w:pPr>
    <w:rPr>
      <w:rFonts w:ascii="XO Thames" w:hAnsi="XO Thames"/>
      <w:b w:val="1"/>
      <w:sz w:val="32"/>
    </w:rPr>
  </w:style>
  <w:style w:styleId="Style_12_ch" w:type="character">
    <w:name w:val="heading 1"/>
    <w:link w:val="Style_12"/>
    <w:rPr>
      <w:rFonts w:ascii="XO Thames" w:hAnsi="XO Thames"/>
      <w:b w:val="1"/>
      <w:sz w:val="32"/>
    </w:rPr>
  </w:style>
  <w:style w:styleId="Style_13" w:type="paragraph">
    <w:name w:val="Hyperlink"/>
    <w:link w:val="Style_13_ch"/>
    <w:rPr>
      <w:color w:val="0000FF"/>
      <w:u w:val="single"/>
    </w:rPr>
  </w:style>
  <w:style w:styleId="Style_13_ch" w:type="character">
    <w:name w:val="Hyperlink"/>
    <w:link w:val="Style_13"/>
    <w:rPr>
      <w:color w:val="0000FF"/>
      <w:u w:val="single"/>
    </w:rPr>
  </w:style>
  <w:style w:styleId="Style_14" w:type="paragraph">
    <w:name w:val="Footnote"/>
    <w:basedOn w:val="Style_3"/>
    <w:link w:val="Style_14_ch"/>
    <w:rPr>
      <w:rFonts w:ascii="Calibri" w:hAnsi="Calibri"/>
      <w:sz w:val="20"/>
    </w:rPr>
  </w:style>
  <w:style w:styleId="Style_14_ch" w:type="character">
    <w:name w:val="Footnote"/>
    <w:basedOn w:val="Style_3_ch"/>
    <w:link w:val="Style_14"/>
    <w:rPr>
      <w:rFonts w:ascii="Calibri" w:hAnsi="Calibri"/>
      <w:sz w:val="20"/>
    </w:rPr>
  </w:style>
  <w:style w:styleId="Style_15" w:type="paragraph">
    <w:name w:val="toc 1"/>
    <w:next w:val="Style_3"/>
    <w:link w:val="Style_15_ch"/>
    <w:uiPriority w:val="39"/>
    <w:pPr>
      <w:ind w:firstLine="0" w:left="0"/>
      <w:jc w:val="left"/>
    </w:pPr>
    <w:rPr>
      <w:rFonts w:ascii="XO Thames" w:hAnsi="XO Thames"/>
      <w:b w:val="1"/>
      <w:sz w:val="28"/>
    </w:rPr>
  </w:style>
  <w:style w:styleId="Style_15_ch" w:type="character">
    <w:name w:val="toc 1"/>
    <w:link w:val="Style_15"/>
    <w:rPr>
      <w:rFonts w:ascii="XO Thames" w:hAnsi="XO Thames"/>
      <w:b w:val="1"/>
      <w:sz w:val="28"/>
    </w:rPr>
  </w:style>
  <w:style w:styleId="Style_16" w:type="paragraph">
    <w:name w:val="Header and Footer"/>
    <w:link w:val="Style_16_ch"/>
    <w:pPr>
      <w:spacing w:line="240" w:lineRule="auto"/>
      <w:ind/>
      <w:jc w:val="both"/>
    </w:pPr>
    <w:rPr>
      <w:rFonts w:ascii="XO Thames" w:hAnsi="XO Thames"/>
      <w:sz w:val="28"/>
    </w:rPr>
  </w:style>
  <w:style w:styleId="Style_16_ch" w:type="character">
    <w:name w:val="Header and Footer"/>
    <w:link w:val="Style_16"/>
    <w:rPr>
      <w:rFonts w:ascii="XO Thames" w:hAnsi="XO Thames"/>
      <w:sz w:val="28"/>
    </w:rPr>
  </w:style>
  <w:style w:styleId="Style_17" w:type="paragraph">
    <w:name w:val="toc 9"/>
    <w:next w:val="Style_3"/>
    <w:link w:val="Style_17_ch"/>
    <w:uiPriority w:val="39"/>
    <w:pPr>
      <w:ind w:firstLine="0" w:left="1600"/>
      <w:jc w:val="left"/>
    </w:pPr>
    <w:rPr>
      <w:rFonts w:ascii="XO Thames" w:hAnsi="XO Thames"/>
      <w:sz w:val="28"/>
    </w:rPr>
  </w:style>
  <w:style w:styleId="Style_17_ch" w:type="character">
    <w:name w:val="toc 9"/>
    <w:link w:val="Style_17"/>
    <w:rPr>
      <w:rFonts w:ascii="XO Thames" w:hAnsi="XO Thames"/>
      <w:sz w:val="28"/>
    </w:rPr>
  </w:style>
  <w:style w:styleId="Style_18" w:type="paragraph">
    <w:name w:val="toc 8"/>
    <w:next w:val="Style_3"/>
    <w:link w:val="Style_18_ch"/>
    <w:uiPriority w:val="39"/>
    <w:pPr>
      <w:ind w:firstLine="0" w:left="1400"/>
      <w:jc w:val="left"/>
    </w:pPr>
    <w:rPr>
      <w:rFonts w:ascii="XO Thames" w:hAnsi="XO Thames"/>
      <w:sz w:val="28"/>
    </w:rPr>
  </w:style>
  <w:style w:styleId="Style_18_ch" w:type="character">
    <w:name w:val="toc 8"/>
    <w:link w:val="Style_18"/>
    <w:rPr>
      <w:rFonts w:ascii="XO Thames" w:hAnsi="XO Thames"/>
      <w:sz w:val="28"/>
    </w:rPr>
  </w:style>
  <w:style w:styleId="Style_19" w:type="paragraph">
    <w:name w:val="Default Paragraph Font"/>
    <w:link w:val="Style_19_ch"/>
  </w:style>
  <w:style w:styleId="Style_19_ch" w:type="character">
    <w:name w:val="Default Paragraph Font"/>
    <w:link w:val="Style_19"/>
  </w:style>
  <w:style w:styleId="Style_20" w:type="paragraph">
    <w:name w:val="toc 5"/>
    <w:next w:val="Style_3"/>
    <w:link w:val="Style_20_ch"/>
    <w:uiPriority w:val="39"/>
    <w:pPr>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3"/>
    <w:link w:val="Style_21_ch"/>
    <w:uiPriority w:val="11"/>
    <w:qFormat/>
    <w:pPr>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3"/>
    <w:link w:val="Style_22_ch"/>
    <w:uiPriority w:val="10"/>
    <w:qFormat/>
    <w:pPr>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3"/>
    <w:link w:val="Style_23_ch"/>
    <w:uiPriority w:val="9"/>
    <w:qFormat/>
    <w:pPr>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24" w:type="paragraph">
    <w:name w:val="heading 2"/>
    <w:next w:val="Style_3"/>
    <w:link w:val="Style_24_ch"/>
    <w:uiPriority w:val="9"/>
    <w:qFormat/>
    <w:pPr>
      <w:spacing w:after="120" w:before="120"/>
      <w:ind/>
      <w:jc w:val="both"/>
      <w:outlineLvl w:val="1"/>
    </w:pPr>
    <w:rPr>
      <w:rFonts w:ascii="XO Thames" w:hAnsi="XO Thames"/>
      <w:b w:val="1"/>
      <w:sz w:val="28"/>
    </w:rPr>
  </w:style>
  <w:style w:styleId="Style_24_ch" w:type="character">
    <w:name w:val="heading 2"/>
    <w:link w:val="Style_24"/>
    <w:rPr>
      <w:rFonts w:ascii="XO Thames" w:hAnsi="XO Thames"/>
      <w:b w:val="1"/>
      <w:sz w:val="28"/>
    </w:rPr>
  </w:style>
  <w:style w:styleId="Style_1" w:type="table">
    <w:name w:val="Table Grid"/>
    <w:basedOn w:val="Style_25"/>
    <w:pPr>
      <w:spacing w:after="0" w:line="240" w:lineRule="auto"/>
      <w:ind/>
    </w:pPr>
    <w:tblPr>
      <w:tblBorders>
        <w:top w:color="000000" w:sz="4" w:val="single"/>
        <w:left w:color="000000" w:sz="4" w:val="single"/>
        <w:bottom w:color="000000" w:sz="4" w:val="single"/>
        <w:right w:color="000000" w:sz="4" w:val="single"/>
        <w:insideH w:color="000000" w:sz="4" w:val="single"/>
        <w:insideV w:color="000000" w:sz="4" w:val="single"/>
      </w:tblBorders>
    </w:tblPr>
  </w:style>
  <w:style w:default="1" w:styleId="Style_25"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8" Target="endnotes.xml" Type="http://schemas.openxmlformats.org/officeDocument/2006/relationships/endnotes"/>
  <Relationship Id="rId4" Target="stylesWithEffects.xml" Type="http://schemas.microsoft.com/office/2007/relationships/stylesWithEffects"/>
  <Relationship Id="rId9" Target="numbering.xml" Type="http://schemas.openxmlformats.org/officeDocument/2006/relationships/numbering"/>
  <Relationship Id="rId7" Target="footnotes.xml" Type="http://schemas.openxmlformats.org/officeDocument/2006/relationships/footnote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MyOffice-CoreFramework-Windows/31</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2026-04-09T11:01:53Z</dcterms:modified>
</cp:coreProperties>
</file>